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E0C" w:rsidRPr="00A81E0C" w:rsidRDefault="00A81E0C" w:rsidP="00A81E0C">
      <w:pPr>
        <w:jc w:val="center"/>
        <w:rPr>
          <w:rFonts w:asciiTheme="majorHAnsi" w:eastAsia="Times New Roman" w:hAnsiTheme="majorHAnsi" w:cs="Times New Roman"/>
          <w:noProof/>
          <w:sz w:val="22"/>
          <w:szCs w:val="22"/>
          <w:lang w:val="lv-LV"/>
        </w:rPr>
      </w:pPr>
      <w:r w:rsidRPr="00A81E0C">
        <w:rPr>
          <w:rFonts w:asciiTheme="majorHAnsi" w:eastAsia="Times New Roman" w:hAnsiTheme="majorHAnsi" w:cs="Times New Roman"/>
          <w:b/>
          <w:bCs/>
          <w:noProof/>
          <w:sz w:val="22"/>
          <w:szCs w:val="22"/>
          <w:lang w:val="lv-LV"/>
        </w:rPr>
        <w:t>Iedzīvotāju ienākuma nodoklis (IIN)</w:t>
      </w:r>
    </w:p>
    <w:p w:rsidR="00A81E0C" w:rsidRPr="00A81E0C" w:rsidRDefault="00A81E0C" w:rsidP="00A81E0C">
      <w:pPr>
        <w:jc w:val="center"/>
        <w:rPr>
          <w:rFonts w:asciiTheme="majorHAnsi" w:eastAsia="Times New Roman" w:hAnsiTheme="majorHAnsi" w:cs="Times New Roman"/>
          <w:noProof/>
          <w:sz w:val="22"/>
          <w:szCs w:val="22"/>
          <w:lang w:val="lv-LV"/>
        </w:rPr>
      </w:pPr>
    </w:p>
    <w:tbl>
      <w:tblPr>
        <w:tblW w:w="5585" w:type="pct"/>
        <w:tblCellSpacing w:w="0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0"/>
        <w:gridCol w:w="2158"/>
        <w:gridCol w:w="1273"/>
        <w:gridCol w:w="1542"/>
        <w:gridCol w:w="1542"/>
      </w:tblGrid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b/>
                <w:bCs/>
                <w:noProof/>
                <w:sz w:val="22"/>
                <w:szCs w:val="22"/>
                <w:lang w:val="lv-LV"/>
              </w:rPr>
              <w:t>Apraksts</w:t>
            </w:r>
          </w:p>
        </w:tc>
        <w:tc>
          <w:tcPr>
            <w:tcW w:w="11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b/>
                <w:bCs/>
                <w:noProof/>
                <w:sz w:val="22"/>
                <w:szCs w:val="22"/>
                <w:lang w:val="lv-LV"/>
              </w:rPr>
              <w:t>Normatīvais akts</w:t>
            </w: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b/>
                <w:bCs/>
                <w:noProof/>
                <w:sz w:val="22"/>
                <w:szCs w:val="22"/>
                <w:lang w:val="lv-LV"/>
              </w:rPr>
              <w:t>Likmes 2013.gadā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b/>
                <w:bCs/>
                <w:noProof/>
                <w:sz w:val="22"/>
                <w:szCs w:val="22"/>
                <w:lang w:val="lv-LV"/>
              </w:rPr>
              <w:t>Likmes 2014.gadā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b/>
                <w:bCs/>
                <w:noProof/>
                <w:sz w:val="22"/>
                <w:szCs w:val="22"/>
                <w:lang w:val="lv-LV"/>
              </w:rPr>
              <w:t>Likmes 2015.gadā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Minimālā mēneša darba alga</w:t>
            </w:r>
          </w:p>
        </w:tc>
        <w:tc>
          <w:tcPr>
            <w:tcW w:w="1189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 xml:space="preserve">MK noteikumi Nr.665 </w:t>
            </w:r>
            <w:r w:rsidRPr="00A81E0C">
              <w:rPr>
                <w:rFonts w:asciiTheme="majorHAnsi" w:eastAsia="Times New Roman" w:hAnsiTheme="majorHAnsi" w:cs="Times New Roman"/>
                <w:i/>
                <w:iCs/>
                <w:noProof/>
                <w:sz w:val="22"/>
                <w:szCs w:val="22"/>
                <w:lang w:val="lv-LV"/>
              </w:rPr>
              <w:t>Noteikumi par minimālo mēneša darba algu un minimālo stundas tarifa likmi</w:t>
            </w: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200 Ls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320 EUR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360 EUR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Stundas tarifa likme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1,203 Ls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1,933 EUR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2,166 EUR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Stundas tarifa likme pusaudžiem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1,375 Ls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2,209 EUR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2,477 EUR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Stundas tarifa likme darbiniekiem, kas pakļauti riskam un kuriem darba laiks ir 7 stundas dienā un 35 stundas nedēļā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1,375 Ls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2,209 EUR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2,477 EUR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Mēneša neapliekamais minimums</w:t>
            </w:r>
          </w:p>
        </w:tc>
        <w:tc>
          <w:tcPr>
            <w:tcW w:w="11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 xml:space="preserve">MK noteikumi Nr.1210 </w:t>
            </w:r>
            <w:r w:rsidRPr="00A81E0C">
              <w:rPr>
                <w:rFonts w:asciiTheme="majorHAnsi" w:eastAsia="Times New Roman" w:hAnsiTheme="majorHAnsi" w:cs="Times New Roman"/>
                <w:i/>
                <w:iCs/>
                <w:noProof/>
                <w:sz w:val="22"/>
                <w:szCs w:val="22"/>
                <w:lang w:val="lv-LV"/>
              </w:rPr>
              <w:t>Noteikumi par mēneša neapliekamā minimuma un nodokļa atvieglojuma apmēru iedzīvotāju ienākuma nodokļa aprēķināšanai</w:t>
            </w: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 xml:space="preserve"> (MK noteikumi Nr.1210)</w:t>
            </w:r>
          </w:p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45 Ls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75 EUR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bookmarkStart w:id="0" w:name="_GoBack"/>
            <w:bookmarkEnd w:id="0"/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75 EUR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Mēneša neapliekamais minimums pensionāram</w:t>
            </w:r>
          </w:p>
        </w:tc>
        <w:tc>
          <w:tcPr>
            <w:tcW w:w="11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 xml:space="preserve">Likuma </w:t>
            </w:r>
            <w:r w:rsidRPr="00A81E0C">
              <w:rPr>
                <w:rFonts w:asciiTheme="majorHAnsi" w:eastAsia="Times New Roman" w:hAnsiTheme="majorHAnsi" w:cs="Times New Roman"/>
                <w:i/>
                <w:iCs/>
                <w:noProof/>
                <w:sz w:val="22"/>
                <w:szCs w:val="22"/>
                <w:lang w:val="lv-LV"/>
              </w:rPr>
              <w:t>Par iedzīvotāju ienākuma nodokli</w:t>
            </w: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 xml:space="preserve"> (likums par IIN) 12.panta 5.daļa</w:t>
            </w: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165 Ls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235 EUR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235 EUR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Atvieglojumi par apgādājamām personām mēnesī</w:t>
            </w:r>
          </w:p>
        </w:tc>
        <w:tc>
          <w:tcPr>
            <w:tcW w:w="11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MK noteikumi Nr.1210</w:t>
            </w: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70 Ls; no 01.07.2013. 80 Ls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165 EUR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165 EUR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Atvieglojumi I un II grupas invalīdam mēnesī</w:t>
            </w:r>
          </w:p>
        </w:tc>
        <w:tc>
          <w:tcPr>
            <w:tcW w:w="1189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 xml:space="preserve">MK noteikumi Nr.932 </w:t>
            </w:r>
            <w:r w:rsidRPr="00A81E0C">
              <w:rPr>
                <w:rFonts w:asciiTheme="majorHAnsi" w:eastAsia="Times New Roman" w:hAnsiTheme="majorHAnsi" w:cs="Times New Roman"/>
                <w:i/>
                <w:iCs/>
                <w:noProof/>
                <w:sz w:val="22"/>
                <w:szCs w:val="22"/>
                <w:lang w:val="lv-LV"/>
              </w:rPr>
              <w:t>Noteikumi par iedzīvotāju ienākuma nodokļa papildu atvieglojumiem invalīdiem, politiski represētajām personām un nacionālās pretošanās kustības dalībniekiem</w:t>
            </w: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108 Ls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154 EUR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154 EUR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Atvieglojumi III grupas invalīdam mēnesī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84 Ls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120 EUR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120 EUR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Atvieglojumi politiski represētai personai un nacionālās pretošanās kustības dalībniekam mēnesī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108 Ls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154 EUR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154 EUR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IIN no darba algas</w:t>
            </w:r>
          </w:p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1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Likuma par IIN 15.panta 2.daļa, Pārejas noteikumu 90.punkts</w:t>
            </w:r>
          </w:p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24%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24%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23%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IIN no saimnieciskās darbības</w:t>
            </w:r>
          </w:p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1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Likuma par IIN 15.panta 2.</w:t>
            </w: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vertAlign w:val="superscript"/>
                <w:lang w:val="lv-LV"/>
              </w:rPr>
              <w:t>1</w:t>
            </w: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 xml:space="preserve"> daļa, Pārejas noteikumu 90.punkts</w:t>
            </w: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24%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24%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23%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IIN no kapitāla</w:t>
            </w:r>
          </w:p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1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lastRenderedPageBreak/>
              <w:t xml:space="preserve">Likuma par IIN </w:t>
            </w: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lastRenderedPageBreak/>
              <w:t>15.panta 3.</w:t>
            </w: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vertAlign w:val="superscript"/>
                <w:lang w:val="lv-LV"/>
              </w:rPr>
              <w:t>1</w:t>
            </w: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 xml:space="preserve"> daļa</w:t>
            </w:r>
          </w:p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lastRenderedPageBreak/>
              <w:t>10%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10%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10%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lastRenderedPageBreak/>
              <w:t>IIN no kapitāla pieauguma</w:t>
            </w:r>
          </w:p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1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Likuma par IIN 15.panta 3.</w:t>
            </w: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vertAlign w:val="superscript"/>
                <w:lang w:val="lv-LV"/>
              </w:rPr>
              <w:t>1</w:t>
            </w: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 xml:space="preserve"> daļa</w:t>
            </w:r>
          </w:p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15%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15%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IIN nerezidenta ienākumam no Latvijas Republikā (LR) esoša nekustamā īpašuma atsavināšanas un citu kapitāla aktīvu atsavināšanas ienākumam</w:t>
            </w:r>
          </w:p>
        </w:tc>
        <w:tc>
          <w:tcPr>
            <w:tcW w:w="11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Likuma par IIN 15.panta 4.daļa</w:t>
            </w:r>
          </w:p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2%, ieturot izmaksas brīdī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2%, ieturot izmaksas brīdī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2%, ieturot izmaksas brīdī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Fiksētais IIN</w:t>
            </w:r>
          </w:p>
        </w:tc>
        <w:tc>
          <w:tcPr>
            <w:tcW w:w="11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Likuma par IIN 15.panta 5.daļa</w:t>
            </w:r>
          </w:p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5%; ieņēmumiem, kas pārsniedz 10 000 Ls, papildlikme – 7%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5%; ieņēmumiem, kas pārsniedz 14 229 EUR, papildlikme – 7%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5%; ieņēmumiem, kas pārsniedz 14 229 EUR, papildlikme – 7%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Patentmaksa mēnesī</w:t>
            </w:r>
          </w:p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1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Likuma par IIN 15.panta 6.daļa</w:t>
            </w:r>
          </w:p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30 –120 Ls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43 – 100 EUR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43 – 100 EUR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Ienākumi no fiziskās personas – rezidenta un nerezidenta – īpašumā esoša augoša meža atsavināšanas izciršanai un tajā iegūto kokmateriālu atsavināšanas, kā arī atbalsta summas par saimnieciskās darbības ierobežojumiem meža īpašniekiem, kuriem meža apsaimniekošana nav saimnieciskās darbības veids</w:t>
            </w:r>
          </w:p>
        </w:tc>
        <w:tc>
          <w:tcPr>
            <w:tcW w:w="11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Likuma par IIN 15.panta 7.daļa</w:t>
            </w: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10%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10%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10%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Ienākumi no metāllūžņu pārdošanas</w:t>
            </w:r>
          </w:p>
        </w:tc>
        <w:tc>
          <w:tcPr>
            <w:tcW w:w="11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Likuma par IIN 15.panta 7.daļa</w:t>
            </w: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10%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10%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10%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Ienākums no īpašuma īres vai nomas</w:t>
            </w:r>
          </w:p>
        </w:tc>
        <w:tc>
          <w:tcPr>
            <w:tcW w:w="11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Likuma par IIN 15.panta 7.daļa</w:t>
            </w: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10%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10%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10%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Aizdevumam pielīdzināms ienākums</w:t>
            </w:r>
          </w:p>
        </w:tc>
        <w:tc>
          <w:tcPr>
            <w:tcW w:w="11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Likuma par IIN 15.panta 2.un 9.daļa, Pārejas noteikumu 90.punkts</w:t>
            </w: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-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24%, papildlikme valdes, padomes locekļiem, darbiniekiem 22%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23%, papildlikme valdes, padomes locekļiem, darbiniekiem 22%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Samazinātu aizdevuma procentu maksājumu radītais ienākums</w:t>
            </w:r>
          </w:p>
        </w:tc>
        <w:tc>
          <w:tcPr>
            <w:tcW w:w="11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Likuma par IIN 15.panta 2.daļa, Pārejas noteikumu 90.punkts</w:t>
            </w: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-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24%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23%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Iznomāta personāla ienākums vai tam pielīdzināts ienākums</w:t>
            </w:r>
          </w:p>
        </w:tc>
        <w:tc>
          <w:tcPr>
            <w:tcW w:w="11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Likuma par IIN 15.panta 2.daļa, Pārejas noteikumu 90.punkts</w:t>
            </w: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24%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24%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23%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Mikrouzņēmumu sniegtie darbaspēka nodrošināšanas pakalpojumi</w:t>
            </w:r>
          </w:p>
        </w:tc>
        <w:tc>
          <w:tcPr>
            <w:tcW w:w="11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Likuma par IIN 15.panta 2.daļa, Pārejas noteikumu 90.punkts</w:t>
            </w: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24%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24%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23%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Ienākums no būtiskas līdzdalības ārvalsts sabiedrībā</w:t>
            </w:r>
          </w:p>
        </w:tc>
        <w:tc>
          <w:tcPr>
            <w:tcW w:w="11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Likuma par IIN 15.panta 2.daļa, Pārejas noteikumu 90.punkts</w:t>
            </w: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24%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24%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23%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Ienākums nerezidentiem no zemu nodokļu un beznodokļu valstīm, no valstīm, ar kurām nav noslēgta nodokļu konvencija</w:t>
            </w:r>
          </w:p>
        </w:tc>
        <w:tc>
          <w:tcPr>
            <w:tcW w:w="11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Likuma par IIN 17.panta 17.daļa, Pārejas noteikumu 90.punkts</w:t>
            </w: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24%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24%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23%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Darbinieka gūtais labums no vieglā transportlīdzekļa izmantošanas vajadzībām, kas nav saistītas ar saimniecisko darbību</w:t>
            </w:r>
          </w:p>
        </w:tc>
        <w:tc>
          <w:tcPr>
            <w:tcW w:w="11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Likuma par IIN 15.panta 2.daļa, Pārejas noteikumu 90.punkts</w:t>
            </w: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24%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24%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23%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i/>
                <w:iCs/>
                <w:noProof/>
                <w:sz w:val="22"/>
                <w:szCs w:val="22"/>
                <w:lang w:val="lv-LV"/>
              </w:rPr>
              <w:t>Domājamā</w:t>
            </w: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 xml:space="preserve"> alga valdes loceklim minimālās algas apmērā</w:t>
            </w:r>
          </w:p>
        </w:tc>
        <w:tc>
          <w:tcPr>
            <w:tcW w:w="11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Likuma par IIN 15.panta 2.daļa, Pārejas noteikumu 90.punkts</w:t>
            </w: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-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24%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23%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1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Sezonas laukstrādnieku ienākuma nodoklis</w:t>
            </w:r>
          </w:p>
        </w:tc>
        <w:tc>
          <w:tcPr>
            <w:tcW w:w="11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Likuma par IIN 15.panta 10.daļa</w:t>
            </w: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-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-</w:t>
            </w:r>
          </w:p>
        </w:tc>
        <w:tc>
          <w:tcPr>
            <w:tcW w:w="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15%, bet ne mazāk kā 0,70 EUR katrā nodarbinātības dienā</w:t>
            </w:r>
          </w:p>
        </w:tc>
      </w:tr>
    </w:tbl>
    <w:p w:rsidR="00A81E0C" w:rsidRPr="00A81E0C" w:rsidRDefault="00A81E0C" w:rsidP="00A81E0C">
      <w:pPr>
        <w:jc w:val="center"/>
        <w:rPr>
          <w:rFonts w:asciiTheme="majorHAnsi" w:eastAsia="Times New Roman" w:hAnsiTheme="majorHAnsi" w:cs="Times New Roman"/>
          <w:noProof/>
          <w:sz w:val="22"/>
          <w:szCs w:val="22"/>
          <w:lang w:val="lv-LV"/>
        </w:rPr>
      </w:pPr>
    </w:p>
    <w:p w:rsidR="00A81E0C" w:rsidRPr="00A81E0C" w:rsidRDefault="00A81E0C" w:rsidP="00A81E0C">
      <w:pPr>
        <w:jc w:val="center"/>
        <w:rPr>
          <w:rFonts w:asciiTheme="majorHAnsi" w:eastAsia="Times New Roman" w:hAnsiTheme="majorHAnsi" w:cs="Times New Roman"/>
          <w:noProof/>
          <w:sz w:val="22"/>
          <w:szCs w:val="22"/>
          <w:lang w:val="lv-LV"/>
        </w:rPr>
      </w:pPr>
    </w:p>
    <w:p w:rsidR="00A81E0C" w:rsidRPr="00A81E0C" w:rsidRDefault="00A81E0C" w:rsidP="00A81E0C">
      <w:pPr>
        <w:jc w:val="center"/>
        <w:rPr>
          <w:rFonts w:asciiTheme="majorHAnsi" w:eastAsia="Times New Roman" w:hAnsiTheme="majorHAnsi" w:cs="Times New Roman"/>
          <w:noProof/>
          <w:sz w:val="22"/>
          <w:szCs w:val="22"/>
          <w:lang w:val="lv-LV"/>
        </w:rPr>
      </w:pPr>
      <w:r w:rsidRPr="00A81E0C">
        <w:rPr>
          <w:rFonts w:asciiTheme="majorHAnsi" w:eastAsia="Times New Roman" w:hAnsiTheme="majorHAnsi" w:cs="Times New Roman"/>
          <w:b/>
          <w:bCs/>
          <w:noProof/>
          <w:sz w:val="22"/>
          <w:szCs w:val="22"/>
          <w:lang w:val="lv-LV"/>
        </w:rPr>
        <w:t>Mikrouzņēmumu nodoklis (MUN)</w:t>
      </w:r>
    </w:p>
    <w:p w:rsidR="00A81E0C" w:rsidRPr="00A81E0C" w:rsidRDefault="00A81E0C" w:rsidP="00A81E0C">
      <w:pPr>
        <w:jc w:val="center"/>
        <w:rPr>
          <w:rFonts w:asciiTheme="majorHAnsi" w:eastAsia="Times New Roman" w:hAnsiTheme="majorHAnsi" w:cs="Times New Roman"/>
          <w:noProof/>
          <w:sz w:val="22"/>
          <w:szCs w:val="22"/>
          <w:lang w:val="lv-LV"/>
        </w:rPr>
      </w:pPr>
    </w:p>
    <w:tbl>
      <w:tblPr>
        <w:tblW w:w="5586" w:type="pct"/>
        <w:tblCellSpacing w:w="0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124"/>
        <w:gridCol w:w="1456"/>
        <w:gridCol w:w="1456"/>
        <w:gridCol w:w="1549"/>
      </w:tblGrid>
      <w:tr w:rsidR="00A81E0C" w:rsidRPr="00A81E0C" w:rsidTr="00A81E0C">
        <w:trPr>
          <w:tblCellSpacing w:w="0" w:type="dxa"/>
        </w:trPr>
        <w:tc>
          <w:tcPr>
            <w:tcW w:w="2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b/>
                <w:bCs/>
                <w:noProof/>
                <w:sz w:val="22"/>
                <w:szCs w:val="22"/>
                <w:lang w:val="lv-LV"/>
              </w:rPr>
              <w:t>Apraksts</w:t>
            </w:r>
          </w:p>
        </w:tc>
        <w:tc>
          <w:tcPr>
            <w:tcW w:w="2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b/>
                <w:bCs/>
                <w:noProof/>
                <w:sz w:val="22"/>
                <w:szCs w:val="22"/>
                <w:lang w:val="lv-LV"/>
              </w:rPr>
              <w:t>Normatīvais akts</w:t>
            </w:r>
          </w:p>
        </w:tc>
        <w:tc>
          <w:tcPr>
            <w:tcW w:w="1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b/>
                <w:bCs/>
                <w:noProof/>
                <w:sz w:val="22"/>
                <w:szCs w:val="22"/>
                <w:lang w:val="lv-LV"/>
              </w:rPr>
              <w:t>Likmes 2013.gadā</w:t>
            </w:r>
          </w:p>
        </w:tc>
        <w:tc>
          <w:tcPr>
            <w:tcW w:w="1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b/>
                <w:bCs/>
                <w:noProof/>
                <w:sz w:val="22"/>
                <w:szCs w:val="22"/>
                <w:lang w:val="lv-LV"/>
              </w:rPr>
              <w:t>Likmes 2014.gadā</w:t>
            </w:r>
          </w:p>
        </w:tc>
        <w:tc>
          <w:tcPr>
            <w:tcW w:w="1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b/>
                <w:bCs/>
                <w:noProof/>
                <w:sz w:val="22"/>
                <w:szCs w:val="22"/>
                <w:lang w:val="lv-LV"/>
              </w:rPr>
              <w:t>Likmes 2015.gadā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2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Apgrozījums līdz 70 000 Ls; no 01.01.2014. 100 000 EUR</w:t>
            </w:r>
          </w:p>
        </w:tc>
        <w:tc>
          <w:tcPr>
            <w:tcW w:w="2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Mikrouzņēmumu nodokļa likuma (MUN likums) 6.panta 1.daļa (1.</w:t>
            </w: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vertAlign w:val="superscript"/>
                <w:lang w:val="lv-LV"/>
              </w:rPr>
              <w:t>1</w:t>
            </w: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 xml:space="preserve"> daļa)</w:t>
            </w:r>
          </w:p>
        </w:tc>
        <w:tc>
          <w:tcPr>
            <w:tcW w:w="1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9%</w:t>
            </w:r>
          </w:p>
        </w:tc>
        <w:tc>
          <w:tcPr>
            <w:tcW w:w="1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9%</w:t>
            </w:r>
          </w:p>
        </w:tc>
        <w:tc>
          <w:tcPr>
            <w:tcW w:w="1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9% apgrozījumam līdz 7000 EUR</w:t>
            </w:r>
          </w:p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11% apgrozījumam no 7000,01 līdz 100 000 EUR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2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Apgrozījums virs 70 000 Ls; no 01.01.2014. 100 000 EUR</w:t>
            </w:r>
          </w:p>
        </w:tc>
        <w:tc>
          <w:tcPr>
            <w:tcW w:w="2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MUN likuma 6.panta 3.daļa</w:t>
            </w:r>
          </w:p>
        </w:tc>
        <w:tc>
          <w:tcPr>
            <w:tcW w:w="1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20%</w:t>
            </w:r>
          </w:p>
        </w:tc>
        <w:tc>
          <w:tcPr>
            <w:tcW w:w="1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20%</w:t>
            </w:r>
          </w:p>
        </w:tc>
        <w:tc>
          <w:tcPr>
            <w:tcW w:w="1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20%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2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No 01.01.2014., ja nav apgrozījuma vai tas mazāks par 50 EUR</w:t>
            </w:r>
          </w:p>
        </w:tc>
        <w:tc>
          <w:tcPr>
            <w:tcW w:w="2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MUN likuma 6.panta 5.daļa</w:t>
            </w:r>
          </w:p>
        </w:tc>
        <w:tc>
          <w:tcPr>
            <w:tcW w:w="1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-</w:t>
            </w:r>
          </w:p>
        </w:tc>
        <w:tc>
          <w:tcPr>
            <w:tcW w:w="1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50 EUR</w:t>
            </w:r>
          </w:p>
        </w:tc>
        <w:tc>
          <w:tcPr>
            <w:tcW w:w="1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50 EUR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2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Ja darbinieku skaits pārsniedz 5</w:t>
            </w:r>
          </w:p>
        </w:tc>
        <w:tc>
          <w:tcPr>
            <w:tcW w:w="2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MUN likuma 6.panta 2.daļa</w:t>
            </w:r>
          </w:p>
        </w:tc>
        <w:tc>
          <w:tcPr>
            <w:tcW w:w="1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2% par katru darbinieku virs 5</w:t>
            </w:r>
          </w:p>
        </w:tc>
        <w:tc>
          <w:tcPr>
            <w:tcW w:w="1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2% par katru darbinieku virs 5</w:t>
            </w:r>
          </w:p>
        </w:tc>
        <w:tc>
          <w:tcPr>
            <w:tcW w:w="1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2% par katru darbinieku virs 5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2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Ja darbinieka ienākums pārsniedz 500 Ls vai 720 EUR</w:t>
            </w:r>
          </w:p>
        </w:tc>
        <w:tc>
          <w:tcPr>
            <w:tcW w:w="2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MUN likuma 6.panta 4.daļa</w:t>
            </w:r>
          </w:p>
        </w:tc>
        <w:tc>
          <w:tcPr>
            <w:tcW w:w="1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20% no ienākuma pārsnieguma</w:t>
            </w:r>
          </w:p>
        </w:tc>
        <w:tc>
          <w:tcPr>
            <w:tcW w:w="1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20% no ienākuma pārsnieguma</w:t>
            </w:r>
          </w:p>
        </w:tc>
        <w:tc>
          <w:tcPr>
            <w:tcW w:w="1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20% no ienākuma pārsnieguma</w:t>
            </w:r>
          </w:p>
        </w:tc>
      </w:tr>
    </w:tbl>
    <w:p w:rsidR="00A81E0C" w:rsidRPr="00A81E0C" w:rsidRDefault="00A81E0C" w:rsidP="00A81E0C">
      <w:pPr>
        <w:jc w:val="center"/>
        <w:rPr>
          <w:rFonts w:asciiTheme="majorHAnsi" w:eastAsia="Times New Roman" w:hAnsiTheme="majorHAnsi" w:cs="Times New Roman"/>
          <w:noProof/>
          <w:sz w:val="22"/>
          <w:szCs w:val="22"/>
          <w:lang w:val="lv-LV"/>
        </w:rPr>
      </w:pPr>
    </w:p>
    <w:p w:rsidR="00A81E0C" w:rsidRPr="00A81E0C" w:rsidRDefault="00A81E0C" w:rsidP="00A81E0C">
      <w:pPr>
        <w:jc w:val="center"/>
        <w:rPr>
          <w:rFonts w:asciiTheme="majorHAnsi" w:eastAsia="Times New Roman" w:hAnsiTheme="majorHAnsi" w:cs="Times New Roman"/>
          <w:noProof/>
          <w:sz w:val="22"/>
          <w:szCs w:val="22"/>
          <w:lang w:val="lv-LV"/>
        </w:rPr>
      </w:pPr>
    </w:p>
    <w:p w:rsidR="00A81E0C" w:rsidRPr="00A81E0C" w:rsidRDefault="00A81E0C" w:rsidP="00A81E0C">
      <w:pPr>
        <w:jc w:val="center"/>
        <w:rPr>
          <w:rFonts w:asciiTheme="majorHAnsi" w:eastAsia="Times New Roman" w:hAnsiTheme="majorHAnsi" w:cs="Times New Roman"/>
          <w:noProof/>
          <w:sz w:val="22"/>
          <w:szCs w:val="22"/>
          <w:lang w:val="lv-LV"/>
        </w:rPr>
      </w:pPr>
      <w:r w:rsidRPr="00A81E0C">
        <w:rPr>
          <w:rFonts w:asciiTheme="majorHAnsi" w:eastAsia="Times New Roman" w:hAnsiTheme="majorHAnsi" w:cs="Times New Roman"/>
          <w:b/>
          <w:bCs/>
          <w:noProof/>
          <w:sz w:val="22"/>
          <w:szCs w:val="22"/>
          <w:lang w:val="lv-LV"/>
        </w:rPr>
        <w:t>Uzņēmumu ienākuma nodoklis (UIN)</w:t>
      </w:r>
    </w:p>
    <w:p w:rsidR="00A81E0C" w:rsidRPr="00A81E0C" w:rsidRDefault="00A81E0C" w:rsidP="00A81E0C">
      <w:pPr>
        <w:jc w:val="center"/>
        <w:rPr>
          <w:rFonts w:asciiTheme="majorHAnsi" w:eastAsia="Times New Roman" w:hAnsiTheme="majorHAnsi" w:cs="Times New Roman"/>
          <w:noProof/>
          <w:sz w:val="22"/>
          <w:szCs w:val="22"/>
          <w:lang w:val="lv-LV"/>
        </w:rPr>
      </w:pPr>
    </w:p>
    <w:tbl>
      <w:tblPr>
        <w:tblW w:w="5586" w:type="pct"/>
        <w:tblCellSpacing w:w="0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8"/>
        <w:gridCol w:w="1902"/>
        <w:gridCol w:w="1398"/>
        <w:gridCol w:w="1529"/>
        <w:gridCol w:w="1529"/>
      </w:tblGrid>
      <w:tr w:rsidR="00A81E0C" w:rsidRPr="00A81E0C" w:rsidTr="00A81E0C">
        <w:trPr>
          <w:tblCellSpacing w:w="0" w:type="dxa"/>
        </w:trPr>
        <w:tc>
          <w:tcPr>
            <w:tcW w:w="2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b/>
                <w:bCs/>
                <w:noProof/>
                <w:sz w:val="22"/>
                <w:szCs w:val="22"/>
                <w:lang w:val="lv-LV"/>
              </w:rPr>
              <w:t>Apraksts</w:t>
            </w:r>
          </w:p>
        </w:tc>
        <w:tc>
          <w:tcPr>
            <w:tcW w:w="1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b/>
                <w:bCs/>
                <w:noProof/>
                <w:sz w:val="22"/>
                <w:szCs w:val="22"/>
                <w:lang w:val="lv-LV"/>
              </w:rPr>
              <w:t>Normatīvais akts</w:t>
            </w:r>
          </w:p>
        </w:tc>
        <w:tc>
          <w:tcPr>
            <w:tcW w:w="1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b/>
                <w:bCs/>
                <w:noProof/>
                <w:sz w:val="22"/>
                <w:szCs w:val="22"/>
                <w:lang w:val="lv-LV"/>
              </w:rPr>
              <w:t>Likmes 2013.gadā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b/>
                <w:bCs/>
                <w:noProof/>
                <w:sz w:val="22"/>
                <w:szCs w:val="22"/>
                <w:lang w:val="lv-LV"/>
              </w:rPr>
              <w:t>Likmes 2014.gadā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b/>
                <w:bCs/>
                <w:noProof/>
                <w:sz w:val="22"/>
                <w:szCs w:val="22"/>
                <w:lang w:val="lv-LV"/>
              </w:rPr>
              <w:t>Likmes 2015.gadā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2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Apliekamais objekts</w:t>
            </w:r>
          </w:p>
        </w:tc>
        <w:tc>
          <w:tcPr>
            <w:tcW w:w="1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 xml:space="preserve">Likuma </w:t>
            </w:r>
            <w:r w:rsidRPr="00A81E0C">
              <w:rPr>
                <w:rFonts w:asciiTheme="majorHAnsi" w:eastAsia="Times New Roman" w:hAnsiTheme="majorHAnsi" w:cs="Times New Roman"/>
                <w:i/>
                <w:iCs/>
                <w:noProof/>
                <w:sz w:val="22"/>
                <w:szCs w:val="22"/>
                <w:lang w:val="lv-LV"/>
              </w:rPr>
              <w:t>Par uzņēmumu ienākuma nodokli</w:t>
            </w: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 xml:space="preserve"> (likums par UIN) 3.panta 1.daļa</w:t>
            </w:r>
          </w:p>
        </w:tc>
        <w:tc>
          <w:tcPr>
            <w:tcW w:w="1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15%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15%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2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Tonnāžas nodokļa maksātājs</w:t>
            </w:r>
          </w:p>
        </w:tc>
        <w:tc>
          <w:tcPr>
            <w:tcW w:w="1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Likuma par UIN 3.panta 1.</w:t>
            </w: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vertAlign w:val="superscript"/>
                <w:lang w:val="lv-LV"/>
              </w:rPr>
              <w:t>1</w:t>
            </w: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 xml:space="preserve"> daļa</w:t>
            </w:r>
          </w:p>
        </w:tc>
        <w:tc>
          <w:tcPr>
            <w:tcW w:w="1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15%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15%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2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Nodokļa maksātāji, kuri darbojas brīvostās un speciālajās ekonomiskajās zonās</w:t>
            </w:r>
          </w:p>
        </w:tc>
        <w:tc>
          <w:tcPr>
            <w:tcW w:w="1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Likuma par UIN 3.panta 1.daļa; Pārejas noteikumu 26.punkts</w:t>
            </w:r>
          </w:p>
        </w:tc>
        <w:tc>
          <w:tcPr>
            <w:tcW w:w="1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 – 25%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 – 25%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 – 25%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2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Ārvalsts pastāvīgās pārstāvniecības ienākums</w:t>
            </w:r>
          </w:p>
        </w:tc>
        <w:tc>
          <w:tcPr>
            <w:tcW w:w="1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 xml:space="preserve">Likuma par UIN 3.panta 2.daļa un MK noteikumi Nr.587 </w:t>
            </w:r>
            <w:r w:rsidRPr="00A81E0C">
              <w:rPr>
                <w:rFonts w:asciiTheme="majorHAnsi" w:eastAsia="Times New Roman" w:hAnsiTheme="majorHAnsi" w:cs="Times New Roman"/>
                <w:i/>
                <w:iCs/>
                <w:noProof/>
                <w:sz w:val="22"/>
                <w:szCs w:val="22"/>
                <w:lang w:val="lv-LV"/>
              </w:rPr>
              <w:t>Nerezidentu pastāvīgo pārstāvniecību apliekamā ienākuma noteikšanas un nodokļa maksāšanas kārtība</w:t>
            </w:r>
          </w:p>
        </w:tc>
        <w:tc>
          <w:tcPr>
            <w:tcW w:w="1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15 % no apliekamā ienākuma vai 20% no ieņēmumiem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15% no apliekamā ienākuma vai 20% no ieņēmumiem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15% no apliekamā ienākuma vai 20% no ieņēmumiem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2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Dividendes nerezidentiem</w:t>
            </w:r>
          </w:p>
        </w:tc>
        <w:tc>
          <w:tcPr>
            <w:tcW w:w="1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Likuma par UIN 3.panta 4.daļas 1.punkts, 3.panta 8.daļa, 3.panta 8.</w:t>
            </w: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vertAlign w:val="superscript"/>
                <w:lang w:val="lv-LV"/>
              </w:rPr>
              <w:t>1</w:t>
            </w: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 xml:space="preserve"> daļa, 3.panta 8.</w:t>
            </w: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vertAlign w:val="superscript"/>
                <w:lang w:val="lv-LV"/>
              </w:rPr>
              <w:t>2</w:t>
            </w: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 xml:space="preserve"> daļa, Pārejas noteikumu 100.punkts</w:t>
            </w:r>
          </w:p>
        </w:tc>
        <w:tc>
          <w:tcPr>
            <w:tcW w:w="1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0 Ls - 15%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0 EUR, 15% (zemu nodokļu un beznodokļu valsts), 30% (ārkārtas dividendes zemu nodokļu un beznodokļu valsts)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0 EUR, 15% (zemu nodokļu un beznodokļu valsts), 30% (ārkārtas dividendes zemu nodokļu un beznodokļu valsts)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2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Nerezidenta ienākumi personālsabiedrībā</w:t>
            </w:r>
          </w:p>
        </w:tc>
        <w:tc>
          <w:tcPr>
            <w:tcW w:w="1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Likuma par UIN 3.panta 4.daļas 1.</w:t>
            </w: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vertAlign w:val="superscript"/>
                <w:lang w:val="lv-LV"/>
              </w:rPr>
              <w:t>1</w:t>
            </w: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 xml:space="preserve"> punkts</w:t>
            </w:r>
          </w:p>
        </w:tc>
        <w:tc>
          <w:tcPr>
            <w:tcW w:w="1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15%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15%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2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Lauksaimniecības pakalpojumu kooperatīvās sabiedrības, atbilstošās sadalītās kooperatīvās sabiedrības pārpalikuma daļas un dzīvokļu īpašnieku kooperatīvās sabiedrības, automašīnu garāžu īpašnieku kooperatīvās sabiedrības, laivu garāžu īpašnieku kooperatīvās sabiedrības un dārzkopības kooperatīvās sabiedrības biedri – nerezidenti</w:t>
            </w:r>
          </w:p>
        </w:tc>
        <w:tc>
          <w:tcPr>
            <w:tcW w:w="1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Likuma par UIN 3.panta 4.daļas 1.</w:t>
            </w: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vertAlign w:val="superscript"/>
                <w:lang w:val="lv-LV"/>
              </w:rPr>
              <w:t>2</w:t>
            </w: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 xml:space="preserve"> punkts</w:t>
            </w:r>
          </w:p>
        </w:tc>
        <w:tc>
          <w:tcPr>
            <w:tcW w:w="1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15%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15%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2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Nerezidenta sniegtie konsultatīvie pakalpojumi</w:t>
            </w:r>
          </w:p>
        </w:tc>
        <w:tc>
          <w:tcPr>
            <w:tcW w:w="1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Likuma par UIN 3.panta 4.daļas 2.punkts, 3.panta 8.daļa</w:t>
            </w:r>
          </w:p>
        </w:tc>
        <w:tc>
          <w:tcPr>
            <w:tcW w:w="1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10% -15%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10% -15%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10% -15%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2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Procentu maksājumi nerezidentam, ja to maksātājs un saņēmējs ir saistīti uzņēmumi vai personas</w:t>
            </w:r>
          </w:p>
        </w:tc>
        <w:tc>
          <w:tcPr>
            <w:tcW w:w="190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Likuma par UIN 3.panta 4.daļas 3.punkts, 3.panta 8.</w:t>
            </w: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vertAlign w:val="superscript"/>
                <w:lang w:val="lv-LV"/>
              </w:rPr>
              <w:t>2</w:t>
            </w: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 xml:space="preserve"> daļas 1.punkts, Pārejas noteikumu 101.punkts</w:t>
            </w:r>
          </w:p>
        </w:tc>
        <w:tc>
          <w:tcPr>
            <w:tcW w:w="1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10%, no 01.07.2013. 0 Ls saistītai personai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0 EUR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0 EUR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2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Procentu maksājumi, ko LR reģistrētās komercbankas izmaksā ar tām saistītiem uzņēmumiem vai personām,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5%, no 01.07.2013. 0 Ls saistītai personai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5% (izmaksā kredītiestādes); 15% (no zemu nodokļu un beznodokļu valstīm)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5% (izmaksā kredītiestādes); 15% (no zemu nodokļu un beznodokļu valstīm)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2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Procentu maksājumi, ko kapitālsabiedrība, kas ir LR rezidents, izmaksā Eiropas Savienības (ES) dalībvalstu saistītai sabiedrībai vai tās pastāvīgajai pārstāvniecībai, kas atrodas citā ES dalībvalstī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nepiemēro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nepiemēro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nepiemēro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2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Samaksa nerezidentam par intelektuālo īpašumu, izņemot samaksu par intelektuālo īpašumu, ko Latvijas sabiedrība izmaksā ES dalībvalstu saistītai sabiedrībai vai tās pastāvīgajai pārstāvniecībai, kas atrodas citā ES dalībvalstī:</w:t>
            </w:r>
          </w:p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a) maksājumi par autortiesībām (ieskaitot blakustiesības) vai tiesībām izmantot autortiesības (ieskaitot blakustiesības) uz literāru vai mākslas darbu, ieskaitot filmas un fonogrammas</w:t>
            </w:r>
          </w:p>
        </w:tc>
        <w:tc>
          <w:tcPr>
            <w:tcW w:w="190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Likuma par UIN 3.panta 4.daļas 4.punkts, 3.panta 8.</w:t>
            </w: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vertAlign w:val="superscript"/>
                <w:lang w:val="lv-LV"/>
              </w:rPr>
              <w:t>2</w:t>
            </w: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 xml:space="preserve"> daļas 2.punkts, Pārejas noteikumu 101.punkts</w:t>
            </w:r>
          </w:p>
        </w:tc>
        <w:tc>
          <w:tcPr>
            <w:tcW w:w="1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15%, no 01.07.2013. 0 Ls saistītai personai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15% (zemu nodokļu un beznodokļu valsts)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15% (zemu nodokļu un beznodokļu valsts)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2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b) maksājumi par pārējiem intelektuālā īpašuma veidiem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5%-15%; no 01.07.2013. 0 Ls saistītai personai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15% (zemu nodokļu un beznodokļu valsts)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15% (zemu nodokļu un beznodokļu valsts)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2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Atlīdzība nerezidentam par Latvijā esoša īpašuma izmantošanu</w:t>
            </w:r>
          </w:p>
        </w:tc>
        <w:tc>
          <w:tcPr>
            <w:tcW w:w="1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Likuma par UIN 3.panta 4.daļas 5.punkts</w:t>
            </w:r>
          </w:p>
        </w:tc>
        <w:tc>
          <w:tcPr>
            <w:tcW w:w="1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5% - 15%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5%, 15% (zemu nodokļu un beznodokļu valsts)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5%, 15% (zemu nodokļu un beznodokļu valsts)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2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Atlīdzība nerezidentam par Latvijā esoša nekustamā īpašuma atsavināšanu</w:t>
            </w:r>
          </w:p>
        </w:tc>
        <w:tc>
          <w:tcPr>
            <w:tcW w:w="1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Likuma par UIN 3.panta 4.daļas 7.punkts</w:t>
            </w:r>
          </w:p>
        </w:tc>
        <w:tc>
          <w:tcPr>
            <w:tcW w:w="1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2% - 15%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2%, 15% (zemu nodokļu un beznodokļu valsts)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2%, 15% zemu nodokļu un beznodokļu valsts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2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Visi darījumi, kurus veic nerezidenti no zemu nodokļu valstīm, izņemot dividendes, procentus un preču piegādes</w:t>
            </w:r>
          </w:p>
        </w:tc>
        <w:tc>
          <w:tcPr>
            <w:tcW w:w="1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Likuma par UIN 3.panta 8.daļa</w:t>
            </w:r>
          </w:p>
        </w:tc>
        <w:tc>
          <w:tcPr>
            <w:tcW w:w="1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0 Ls – 15%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15%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15%</w:t>
            </w:r>
          </w:p>
        </w:tc>
      </w:tr>
    </w:tbl>
    <w:p w:rsidR="00A81E0C" w:rsidRPr="00A81E0C" w:rsidRDefault="00A81E0C" w:rsidP="00A81E0C">
      <w:pPr>
        <w:jc w:val="center"/>
        <w:rPr>
          <w:rFonts w:asciiTheme="majorHAnsi" w:eastAsia="Times New Roman" w:hAnsiTheme="majorHAnsi" w:cs="Times New Roman"/>
          <w:noProof/>
          <w:sz w:val="22"/>
          <w:szCs w:val="22"/>
          <w:lang w:val="lv-LV"/>
        </w:rPr>
      </w:pPr>
    </w:p>
    <w:p w:rsidR="00A81E0C" w:rsidRPr="00A81E0C" w:rsidRDefault="00A81E0C" w:rsidP="00A81E0C">
      <w:pPr>
        <w:jc w:val="center"/>
        <w:rPr>
          <w:rFonts w:asciiTheme="majorHAnsi" w:eastAsia="Times New Roman" w:hAnsiTheme="majorHAnsi" w:cs="Times New Roman"/>
          <w:noProof/>
          <w:sz w:val="22"/>
          <w:szCs w:val="22"/>
          <w:lang w:val="lv-LV"/>
        </w:rPr>
      </w:pPr>
    </w:p>
    <w:p w:rsidR="00A81E0C" w:rsidRPr="00A81E0C" w:rsidRDefault="00A81E0C" w:rsidP="00A81E0C">
      <w:pPr>
        <w:jc w:val="center"/>
        <w:rPr>
          <w:rFonts w:asciiTheme="majorHAnsi" w:eastAsia="Times New Roman" w:hAnsiTheme="majorHAnsi" w:cs="Times New Roman"/>
          <w:noProof/>
          <w:sz w:val="22"/>
          <w:szCs w:val="22"/>
          <w:lang w:val="lv-LV"/>
        </w:rPr>
      </w:pPr>
      <w:r w:rsidRPr="00A81E0C">
        <w:rPr>
          <w:rFonts w:asciiTheme="majorHAnsi" w:eastAsia="Times New Roman" w:hAnsiTheme="majorHAnsi" w:cs="Times New Roman"/>
          <w:b/>
          <w:bCs/>
          <w:noProof/>
          <w:sz w:val="22"/>
          <w:szCs w:val="22"/>
          <w:lang w:val="lv-LV"/>
        </w:rPr>
        <w:t>Pievienotās vērtības nodoklis (PVN)</w:t>
      </w:r>
    </w:p>
    <w:p w:rsidR="00A81E0C" w:rsidRPr="00A81E0C" w:rsidRDefault="00A81E0C" w:rsidP="00A81E0C">
      <w:pPr>
        <w:jc w:val="center"/>
        <w:rPr>
          <w:rFonts w:asciiTheme="majorHAnsi" w:eastAsia="Times New Roman" w:hAnsiTheme="majorHAnsi" w:cs="Times New Roman"/>
          <w:noProof/>
          <w:sz w:val="22"/>
          <w:szCs w:val="22"/>
          <w:lang w:val="lv-LV"/>
        </w:rPr>
      </w:pPr>
    </w:p>
    <w:tbl>
      <w:tblPr>
        <w:tblW w:w="5586" w:type="pct"/>
        <w:tblCellSpacing w:w="0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9"/>
        <w:gridCol w:w="2076"/>
        <w:gridCol w:w="1417"/>
        <w:gridCol w:w="1417"/>
        <w:gridCol w:w="1417"/>
      </w:tblGrid>
      <w:tr w:rsidR="00A81E0C" w:rsidRPr="00A81E0C" w:rsidTr="00A81E0C">
        <w:trPr>
          <w:tblCellSpacing w:w="0" w:type="dxa"/>
        </w:trPr>
        <w:tc>
          <w:tcPr>
            <w:tcW w:w="2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b/>
                <w:bCs/>
                <w:noProof/>
                <w:sz w:val="22"/>
                <w:szCs w:val="22"/>
                <w:lang w:val="lv-LV"/>
              </w:rPr>
              <w:t>Apraksts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b/>
                <w:bCs/>
                <w:noProof/>
                <w:sz w:val="22"/>
                <w:szCs w:val="22"/>
                <w:lang w:val="lv-LV"/>
              </w:rPr>
              <w:t>Normatīvais akts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b/>
                <w:bCs/>
                <w:noProof/>
                <w:sz w:val="22"/>
                <w:szCs w:val="22"/>
                <w:lang w:val="lv-LV"/>
              </w:rPr>
              <w:t>Likmes 2013.gadā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b/>
                <w:bCs/>
                <w:noProof/>
                <w:sz w:val="22"/>
                <w:szCs w:val="22"/>
                <w:lang w:val="lv-LV"/>
              </w:rPr>
              <w:t>Likmes 2014.gadā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b/>
                <w:bCs/>
                <w:noProof/>
                <w:sz w:val="22"/>
                <w:szCs w:val="22"/>
                <w:lang w:val="lv-LV"/>
              </w:rPr>
              <w:t>Likmes 2015.gadā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2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PVN standartlikme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Pievienotās vērtības nodokļa likuma (PVN likums) 41.panta 1.daļas 1.punkts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21%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21%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21%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2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PVN samazinātā likme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PVN likuma 42.panta 1.daļas 2.punkts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12%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12%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12%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2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Apliekamie darījumi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PVN likuma 42.panta 1.daļas 3.punkts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0%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0%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0%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2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PVN elektroenerģijai iedzīvotājiem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PVN likuma 42.panta 1.daļas 1.punkts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21%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21%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21%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2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PVN dabasgāzei iedzīvotājiem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PVN likuma 42.panta 1.daļas 1.punkts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21%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21%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21%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2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PVN komerciālā nolūkā importētām precēm zem 10 EUR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PVN likuma 53.panta 5.daļa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Neapliek zem 22 EUR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Neapliek zem 22 EUR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Neapliek zem 22 EUR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2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Preču sūtījumi (EK), kas atbrīvoti no muitas nodokļa, zem 10 EUR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PVN likuma 53.panta 4.daļa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Neapliek zem 22 EUR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Neapliek zem 22 EUR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Neapliek zem 22 EUR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2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Fiskālā pārstāvja preču iegāde ES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PVN likuma 44.pants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0%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0%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0%</w:t>
            </w:r>
          </w:p>
        </w:tc>
      </w:tr>
    </w:tbl>
    <w:p w:rsidR="00A81E0C" w:rsidRPr="00A81E0C" w:rsidRDefault="00A81E0C" w:rsidP="00A81E0C">
      <w:pPr>
        <w:jc w:val="center"/>
        <w:rPr>
          <w:rFonts w:asciiTheme="majorHAnsi" w:eastAsia="Times New Roman" w:hAnsiTheme="majorHAnsi" w:cs="Times New Roman"/>
          <w:noProof/>
          <w:sz w:val="22"/>
          <w:szCs w:val="22"/>
          <w:lang w:val="lv-LV"/>
        </w:rPr>
      </w:pPr>
    </w:p>
    <w:p w:rsidR="00A81E0C" w:rsidRPr="00A81E0C" w:rsidRDefault="00A81E0C" w:rsidP="00A81E0C">
      <w:pPr>
        <w:jc w:val="center"/>
        <w:rPr>
          <w:rFonts w:asciiTheme="majorHAnsi" w:eastAsia="Times New Roman" w:hAnsiTheme="majorHAnsi" w:cs="Times New Roman"/>
          <w:noProof/>
          <w:sz w:val="22"/>
          <w:szCs w:val="22"/>
          <w:lang w:val="lv-LV"/>
        </w:rPr>
      </w:pPr>
    </w:p>
    <w:p w:rsidR="00A81E0C" w:rsidRPr="00A81E0C" w:rsidRDefault="00A81E0C" w:rsidP="00A81E0C">
      <w:pPr>
        <w:jc w:val="center"/>
        <w:rPr>
          <w:rFonts w:asciiTheme="majorHAnsi" w:eastAsia="Times New Roman" w:hAnsiTheme="majorHAnsi" w:cs="Times New Roman"/>
          <w:noProof/>
          <w:sz w:val="22"/>
          <w:szCs w:val="22"/>
          <w:lang w:val="lv-LV"/>
        </w:rPr>
      </w:pPr>
      <w:r w:rsidRPr="00A81E0C">
        <w:rPr>
          <w:rFonts w:asciiTheme="majorHAnsi" w:eastAsia="Times New Roman" w:hAnsiTheme="majorHAnsi" w:cs="Times New Roman"/>
          <w:b/>
          <w:bCs/>
          <w:noProof/>
          <w:sz w:val="22"/>
          <w:szCs w:val="22"/>
          <w:lang w:val="lv-LV"/>
        </w:rPr>
        <w:t>Valsts sociālās apdrošināšanas obligātās iemaksas (VSAOI)</w:t>
      </w:r>
    </w:p>
    <w:p w:rsidR="00A81E0C" w:rsidRPr="00A81E0C" w:rsidRDefault="00A81E0C" w:rsidP="00A81E0C">
      <w:pPr>
        <w:jc w:val="center"/>
        <w:rPr>
          <w:rFonts w:asciiTheme="majorHAnsi" w:eastAsia="Times New Roman" w:hAnsiTheme="majorHAnsi" w:cs="Times New Roman"/>
          <w:noProof/>
          <w:sz w:val="22"/>
          <w:szCs w:val="22"/>
          <w:lang w:val="lv-LV"/>
        </w:rPr>
      </w:pPr>
    </w:p>
    <w:tbl>
      <w:tblPr>
        <w:tblW w:w="5586" w:type="pct"/>
        <w:tblCellSpacing w:w="0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8"/>
        <w:gridCol w:w="2124"/>
        <w:gridCol w:w="1368"/>
        <w:gridCol w:w="1368"/>
        <w:gridCol w:w="1368"/>
      </w:tblGrid>
      <w:tr w:rsidR="00A81E0C" w:rsidRPr="00A81E0C" w:rsidTr="00A81E0C">
        <w:trPr>
          <w:tblCellSpacing w:w="0" w:type="dxa"/>
        </w:trPr>
        <w:tc>
          <w:tcPr>
            <w:tcW w:w="3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b/>
                <w:bCs/>
                <w:noProof/>
                <w:sz w:val="22"/>
                <w:szCs w:val="22"/>
                <w:lang w:val="lv-LV"/>
              </w:rPr>
              <w:t>Apraksts</w:t>
            </w:r>
          </w:p>
        </w:tc>
        <w:tc>
          <w:tcPr>
            <w:tcW w:w="2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b/>
                <w:bCs/>
                <w:noProof/>
                <w:sz w:val="22"/>
                <w:szCs w:val="22"/>
                <w:lang w:val="lv-LV"/>
              </w:rPr>
              <w:t>Normatīvais akts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b/>
                <w:bCs/>
                <w:noProof/>
                <w:sz w:val="22"/>
                <w:szCs w:val="22"/>
                <w:lang w:val="lv-LV"/>
              </w:rPr>
              <w:t>Likmes 2013.gadā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b/>
                <w:bCs/>
                <w:noProof/>
                <w:sz w:val="22"/>
                <w:szCs w:val="22"/>
                <w:lang w:val="lv-LV"/>
              </w:rPr>
              <w:t>Likmes 2014.gadā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b/>
                <w:bCs/>
                <w:noProof/>
                <w:sz w:val="22"/>
                <w:szCs w:val="22"/>
                <w:lang w:val="lv-LV"/>
              </w:rPr>
              <w:t>Likmes 2015.gadā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3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VSAOI darba devēja likme</w:t>
            </w:r>
          </w:p>
        </w:tc>
        <w:tc>
          <w:tcPr>
            <w:tcW w:w="212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 xml:space="preserve">Likuma </w:t>
            </w:r>
            <w:r w:rsidRPr="00A81E0C">
              <w:rPr>
                <w:rFonts w:asciiTheme="majorHAnsi" w:eastAsia="Times New Roman" w:hAnsiTheme="majorHAnsi" w:cs="Times New Roman"/>
                <w:i/>
                <w:iCs/>
                <w:noProof/>
                <w:sz w:val="22"/>
                <w:szCs w:val="22"/>
                <w:lang w:val="lv-LV"/>
              </w:rPr>
              <w:t>Par valsts sociālo apdrošināšanu</w:t>
            </w: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 xml:space="preserve"> 18.panta 1.daļa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24,09%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23,59%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23,59%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3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Darba ņēmēja likme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11%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10,50%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10,50%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3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Darba ņēmēja – pensionāra darba devēja likme</w:t>
            </w:r>
          </w:p>
        </w:tc>
        <w:tc>
          <w:tcPr>
            <w:tcW w:w="212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MK noteikumi Nr.1503</w:t>
            </w:r>
            <w:r w:rsidRPr="00A81E0C">
              <w:rPr>
                <w:rFonts w:asciiTheme="majorHAnsi" w:eastAsia="Times New Roman" w:hAnsiTheme="majorHAnsi" w:cs="Times New Roman"/>
                <w:i/>
                <w:iCs/>
                <w:noProof/>
                <w:sz w:val="22"/>
                <w:szCs w:val="22"/>
                <w:lang w:val="lv-LV"/>
              </w:rPr>
              <w:t xml:space="preserve"> Noteikumi par valsts sociālās apdrošināšanas iemaksu likmes sadalījumu pa valsts sociālās apdrošināšanas veidiem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20,68%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20,16%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19,86%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3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Darba ņēmēja – pensionāra darba ņēmēja likme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9,45%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8,96%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8,84%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3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Izdienas pensionāra vai valsts speciālās pensijas saņēmēja – darba devēja likme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22,35%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21,79%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21,50%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3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Izdienas pensionāra vai valsts speciālās pensijas saņēmēja – darba ņēmēja likme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10,20%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9,69%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9,57%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3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Darba devēja likme brīvības atņemšanas laikā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21,59%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20,77%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20,50%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3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Darba ņēmēja likme brīvības atņemšanas laikā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9,86%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9,23%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9,13%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3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Pensionāra – darba devēja likme brīvības atņemšanas laikā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18,26%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17,42%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16,88%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3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Pensionāra – darba ņēmēja likme brīvības atņemšanas laikā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8,34%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7,74%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7,51%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3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Pašnodarbinātais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32,17%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31,06%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30,58%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3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Pašnodarbinātais – pensionārs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29,71%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28,66%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28,17%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3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Reģistrējies saimnieciskās darbības veicējs – nekustamā īpašuma apsaimniekotājs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29,02%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27,52%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26,76%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3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Persona, kuru nodarbina darba devējs – ārvalsts nodokļu maksātājs, ja tās dzīvesvieta nav LR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33,19%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32%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31,46%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3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Persona, kuru nodarbina darba devējs – ārvalsts nodokļu maksātājs (ES, Eiropas Ekonomikas zona, Šveice), ja tās dzīvesvieta ir LR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35,09%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34,09%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34,09%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3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Iekšzemes darba ņēmējs – pensionārs pie darba devēja ārvalstnieka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30,13%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29,12%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28,70%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3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Iekšzemes darba ņēmējs – izdienas pensijas saņēmējs vai invalīds – valsts speciālās pensijas saņēmējs pie darba devēja ārvalstnieka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32,55%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31,48%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31,07%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3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Brīvprātīgā likme pensijai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26,60%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25,16%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24,39%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3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Brīvprātīgā likme pensijai, invaliditātes, maternitātes pabalsta, slimības, vecāku apdrošināšanai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33,19%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32%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31,46%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3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Brīvprātīgā likme MUN maksātāja darbiniekam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35,09%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34,09%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34,09%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3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Brīvprātīgā likme MUN maksātāja darbiniekam – pensionāram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30,13%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29,12%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27,70%</w:t>
            </w:r>
          </w:p>
        </w:tc>
      </w:tr>
      <w:tr w:rsidR="00A81E0C" w:rsidRPr="00A81E0C" w:rsidTr="00A81E0C">
        <w:trPr>
          <w:tblCellSpacing w:w="0" w:type="dxa"/>
        </w:trPr>
        <w:tc>
          <w:tcPr>
            <w:tcW w:w="3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Brīvprātīgā likme MUN maksātāja darbiniekam – izdienas pensijas saņēmējam vai invalīdam – speciālās pensijas saņēmējam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32,55%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31,48%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1E0C" w:rsidRPr="00A81E0C" w:rsidRDefault="00A81E0C" w:rsidP="00A81E0C">
            <w:pPr>
              <w:jc w:val="center"/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</w:pPr>
            <w:r w:rsidRPr="00A81E0C">
              <w:rPr>
                <w:rFonts w:asciiTheme="majorHAnsi" w:eastAsia="Times New Roman" w:hAnsiTheme="majorHAnsi" w:cs="Times New Roman"/>
                <w:noProof/>
                <w:sz w:val="22"/>
                <w:szCs w:val="22"/>
                <w:lang w:val="lv-LV"/>
              </w:rPr>
              <w:t>31,07%</w:t>
            </w:r>
          </w:p>
        </w:tc>
      </w:tr>
    </w:tbl>
    <w:p w:rsidR="00A81E0C" w:rsidRPr="00A81E0C" w:rsidRDefault="00A81E0C" w:rsidP="00A81E0C">
      <w:pPr>
        <w:jc w:val="both"/>
        <w:rPr>
          <w:rFonts w:ascii="Times" w:eastAsia="Times New Roman" w:hAnsi="Times" w:cs="Times New Roman"/>
          <w:sz w:val="20"/>
          <w:szCs w:val="20"/>
          <w:lang w:val="en-US"/>
        </w:rPr>
      </w:pPr>
      <w:r w:rsidRPr="00A81E0C">
        <w:rPr>
          <w:rFonts w:ascii="Times" w:eastAsia="Times New Roman" w:hAnsi="Times" w:cs="Times New Roman"/>
          <w:sz w:val="20"/>
          <w:szCs w:val="20"/>
          <w:lang w:val="en-US"/>
        </w:rPr>
        <w:t> </w:t>
      </w:r>
    </w:p>
    <w:p w:rsidR="00A81E0C" w:rsidRPr="00A81E0C" w:rsidRDefault="00A81E0C" w:rsidP="00A81E0C">
      <w:pPr>
        <w:jc w:val="both"/>
        <w:rPr>
          <w:rFonts w:ascii="Times" w:eastAsia="Times New Roman" w:hAnsi="Times" w:cs="Times New Roman"/>
          <w:sz w:val="20"/>
          <w:szCs w:val="20"/>
          <w:lang w:val="en-US"/>
        </w:rPr>
      </w:pPr>
      <w:r w:rsidRPr="00A81E0C">
        <w:rPr>
          <w:rFonts w:ascii="Times" w:eastAsia="Times New Roman" w:hAnsi="Times" w:cs="Times New Roman"/>
          <w:sz w:val="20"/>
          <w:szCs w:val="20"/>
          <w:lang w:val="en-US"/>
        </w:rPr>
        <w:t> </w:t>
      </w:r>
    </w:p>
    <w:p w:rsidR="00A81E0C" w:rsidRPr="00A81E0C" w:rsidRDefault="00A81E0C" w:rsidP="00A81E0C">
      <w:pPr>
        <w:jc w:val="both"/>
        <w:rPr>
          <w:rFonts w:ascii="Times" w:eastAsia="Times New Roman" w:hAnsi="Times" w:cs="Times New Roman"/>
          <w:sz w:val="20"/>
          <w:szCs w:val="20"/>
          <w:lang w:val="en-US"/>
        </w:rPr>
      </w:pPr>
    </w:p>
    <w:p w:rsidR="00A81E0C" w:rsidRPr="00A81E0C" w:rsidRDefault="00A81E0C" w:rsidP="00A81E0C">
      <w:pPr>
        <w:jc w:val="both"/>
        <w:rPr>
          <w:rFonts w:ascii="Times" w:eastAsia="Times New Roman" w:hAnsi="Times" w:cs="Times New Roman"/>
          <w:sz w:val="20"/>
          <w:szCs w:val="20"/>
          <w:lang w:val="en-US"/>
        </w:rPr>
      </w:pPr>
      <w:r w:rsidRPr="00A81E0C">
        <w:rPr>
          <w:rFonts w:ascii="Times" w:eastAsia="Times New Roman" w:hAnsi="Times" w:cs="Times New Roman"/>
          <w:sz w:val="20"/>
          <w:szCs w:val="20"/>
          <w:lang w:val="en-US"/>
        </w:rPr>
        <w:t> </w:t>
      </w:r>
    </w:p>
    <w:p w:rsidR="00A81E0C" w:rsidRPr="00A81E0C" w:rsidRDefault="00A81E0C" w:rsidP="00A81E0C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  <w:lang w:val="en-US"/>
        </w:rPr>
      </w:pPr>
      <w:r w:rsidRPr="00A81E0C">
        <w:rPr>
          <w:rFonts w:ascii="Arial" w:hAnsi="Arial" w:cs="Arial"/>
          <w:vanish/>
          <w:sz w:val="16"/>
          <w:szCs w:val="16"/>
          <w:lang w:val="en-US"/>
        </w:rPr>
        <w:t>Top of Form</w:t>
      </w:r>
    </w:p>
    <w:p w:rsidR="00A81E0C" w:rsidRPr="00A81E0C" w:rsidRDefault="00A81E0C" w:rsidP="00A81E0C">
      <w:pPr>
        <w:pBdr>
          <w:top w:val="single" w:sz="6" w:space="1" w:color="auto"/>
        </w:pBdr>
        <w:jc w:val="center"/>
        <w:rPr>
          <w:rFonts w:ascii="Arial" w:hAnsi="Arial" w:cs="Arial"/>
          <w:vanish/>
          <w:sz w:val="16"/>
          <w:szCs w:val="16"/>
          <w:lang w:val="en-US"/>
        </w:rPr>
      </w:pPr>
      <w:r w:rsidRPr="00A81E0C">
        <w:rPr>
          <w:rFonts w:ascii="Arial" w:hAnsi="Arial" w:cs="Arial"/>
          <w:vanish/>
          <w:sz w:val="16"/>
          <w:szCs w:val="16"/>
          <w:lang w:val="en-US"/>
        </w:rPr>
        <w:t>Bottom of Form</w:t>
      </w:r>
    </w:p>
    <w:p w:rsidR="0083285B" w:rsidRDefault="0083285B"/>
    <w:sectPr w:rsidR="0083285B" w:rsidSect="0083285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dirty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E0C"/>
    <w:rsid w:val="0083285B"/>
    <w:rsid w:val="00A81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8DD751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81E0C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E0C"/>
    <w:rPr>
      <w:rFonts w:ascii="Times" w:hAnsi="Times"/>
      <w:b/>
      <w:bCs/>
      <w:kern w:val="36"/>
      <w:sz w:val="48"/>
      <w:szCs w:val="48"/>
      <w:lang w:val="en-US"/>
    </w:rPr>
  </w:style>
  <w:style w:type="character" w:styleId="Emphasis">
    <w:name w:val="Emphasis"/>
    <w:basedOn w:val="DefaultParagraphFont"/>
    <w:uiPriority w:val="20"/>
    <w:qFormat/>
    <w:rsid w:val="00A81E0C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81E0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81E0C"/>
    <w:rPr>
      <w:rFonts w:ascii="Arial" w:hAnsi="Arial" w:cs="Arial"/>
      <w:vanish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A81E0C"/>
    <w:rPr>
      <w:color w:val="0000FF"/>
      <w:u w:val="singl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81E0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81E0C"/>
    <w:rPr>
      <w:rFonts w:ascii="Arial" w:hAnsi="Arial" w:cs="Arial"/>
      <w:vanish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81E0C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E0C"/>
    <w:rPr>
      <w:rFonts w:ascii="Times" w:hAnsi="Times"/>
      <w:b/>
      <w:bCs/>
      <w:kern w:val="36"/>
      <w:sz w:val="48"/>
      <w:szCs w:val="48"/>
      <w:lang w:val="en-US"/>
    </w:rPr>
  </w:style>
  <w:style w:type="character" w:styleId="Emphasis">
    <w:name w:val="Emphasis"/>
    <w:basedOn w:val="DefaultParagraphFont"/>
    <w:uiPriority w:val="20"/>
    <w:qFormat/>
    <w:rsid w:val="00A81E0C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81E0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81E0C"/>
    <w:rPr>
      <w:rFonts w:ascii="Arial" w:hAnsi="Arial" w:cs="Arial"/>
      <w:vanish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A81E0C"/>
    <w:rPr>
      <w:color w:val="0000FF"/>
      <w:u w:val="singl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81E0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81E0C"/>
    <w:rPr>
      <w:rFonts w:ascii="Arial" w:hAnsi="Arial" w:cs="Arial"/>
      <w:vanish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1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49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5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0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4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7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1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5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35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85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0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96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39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3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73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1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7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8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33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6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3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72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6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83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9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5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0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09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84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2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44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2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0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98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5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7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25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1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1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6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8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26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23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3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8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23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1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0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21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4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5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7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1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8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85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25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1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76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1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6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9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5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6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9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71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1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48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55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5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96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8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1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0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2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4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15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9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72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9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62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7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9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67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5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53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6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66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13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26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2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7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1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4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81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9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7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5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4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05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4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07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48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1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1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9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03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94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5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62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8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9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4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8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03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9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24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3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2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87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27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1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96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58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67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5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8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60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6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4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5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27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1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0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32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4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6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12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5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9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8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4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3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0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92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4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91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62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03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2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8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59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2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6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4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1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56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0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1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20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5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1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89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95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64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11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8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3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44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21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44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1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85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18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9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9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0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53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9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95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5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1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1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6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0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15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5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7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8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72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14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43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16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7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7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78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00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16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50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1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76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27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7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4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32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7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26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9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4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19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24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8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7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54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9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4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8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0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36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2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56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0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4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3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09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76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11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8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7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6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1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5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61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3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9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7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4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40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81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3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08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2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3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32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63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8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46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16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9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9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14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90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8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7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9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82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6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0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92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4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4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9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69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0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4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0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8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95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95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8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8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3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4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56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70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7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2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7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5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24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03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56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0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8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9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99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63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14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40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9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1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4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78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1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6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25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36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2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1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0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9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2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9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60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69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0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8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72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10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1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01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0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9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1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2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1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2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44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66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7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0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2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0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8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9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91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87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22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42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5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7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54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8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5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4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43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64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66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8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7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4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21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97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81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27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18570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35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91514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1805</Words>
  <Characters>10294</Characters>
  <Application>Microsoft Macintosh Word</Application>
  <DocSecurity>0</DocSecurity>
  <Lines>85</Lines>
  <Paragraphs>24</Paragraphs>
  <ScaleCrop>false</ScaleCrop>
  <Company/>
  <LinksUpToDate>false</LinksUpToDate>
  <CharactersWithSpaces>12075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Sproge</dc:creator>
  <cp:keywords/>
  <dc:description/>
  <cp:lastModifiedBy>Inga Sproge</cp:lastModifiedBy>
  <cp:revision>1</cp:revision>
  <dcterms:created xsi:type="dcterms:W3CDTF">2015-01-21T13:03:00Z</dcterms:created>
  <dcterms:modified xsi:type="dcterms:W3CDTF">2015-01-21T13:12:00Z</dcterms:modified>
</cp:coreProperties>
</file>